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6" w:rsidRPr="005F0D43" w:rsidRDefault="00666C44" w:rsidP="00BE365B">
      <w:pPr>
        <w:spacing w:after="240"/>
        <w:jc w:val="center"/>
        <w:rPr>
          <w:rFonts w:ascii="Times New Roman" w:hAnsi="Times New Roman" w:cs="Times New Roman"/>
          <w:sz w:val="20"/>
          <w:szCs w:val="2"/>
        </w:rPr>
      </w:pPr>
      <w:r w:rsidRPr="00666C44">
        <w:rPr>
          <w:noProof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9pt;margin-top:-51.1pt;width:88.7pt;height:55.3pt;z-index:-251658752;mso-position-horizontal-relative:text;mso-position-vertical-relative:text;mso-width-relative:page;mso-height-relative:page">
            <v:imagedata r:id="rId7" o:title="image1"/>
          </v:shape>
        </w:pict>
      </w:r>
    </w:p>
    <w:p w:rsidR="003B0376" w:rsidRDefault="00BE365B" w:rsidP="00BE365B">
      <w:pPr>
        <w:pStyle w:val="Teksttreci30"/>
        <w:shd w:val="clear" w:color="auto" w:fill="auto"/>
        <w:spacing w:after="240" w:line="240" w:lineRule="auto"/>
        <w:jc w:val="center"/>
        <w:rPr>
          <w:sz w:val="20"/>
          <w:lang/>
        </w:rPr>
      </w:pPr>
      <w:r>
        <w:rPr>
          <w:sz w:val="20"/>
          <w:lang/>
        </w:rPr>
        <w:t>MINISTERSTWO ŚRODOWISKA, ENERGII I MORZA</w:t>
      </w:r>
    </w:p>
    <w:p w:rsidR="00FA7CCB" w:rsidRPr="005F0D43" w:rsidRDefault="00FA7CCB" w:rsidP="00BE365B">
      <w:pPr>
        <w:pStyle w:val="Teksttreci30"/>
        <w:shd w:val="clear" w:color="auto" w:fill="auto"/>
        <w:spacing w:after="240" w:line="240" w:lineRule="auto"/>
        <w:jc w:val="center"/>
        <w:rPr>
          <w:sz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4288"/>
      </w:tblGrid>
      <w:tr w:rsidR="003B0376" w:rsidRPr="005F0D43" w:rsidTr="00BE365B">
        <w:trPr>
          <w:trHeight w:val="840"/>
        </w:trPr>
        <w:tc>
          <w:tcPr>
            <w:tcW w:w="5928" w:type="dxa"/>
            <w:shd w:val="clear" w:color="auto" w:fill="FFFFFF"/>
          </w:tcPr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ind w:right="1655"/>
              <w:jc w:val="left"/>
              <w:rPr>
                <w:sz w:val="20"/>
                <w:szCs w:val="20"/>
                <w:lang w:val="pl-PL"/>
              </w:rPr>
            </w:pPr>
            <w:r>
              <w:rPr>
                <w:rStyle w:val="Teksttreci95ptKursywa"/>
                <w:sz w:val="20"/>
                <w:szCs w:val="20"/>
                <w:lang/>
              </w:rPr>
              <w:t>Dyrekcja generalna ds. infrastruktury, transportu i morza</w:t>
            </w:r>
          </w:p>
        </w:tc>
        <w:tc>
          <w:tcPr>
            <w:tcW w:w="4288" w:type="dxa"/>
            <w:shd w:val="clear" w:color="auto" w:fill="FFFFFF"/>
          </w:tcPr>
          <w:p w:rsidR="003B0376" w:rsidRPr="005F0D43" w:rsidRDefault="00BE365B" w:rsidP="00BE365B">
            <w:pPr>
              <w:pStyle w:val="Teksttreci0"/>
              <w:shd w:val="clear" w:color="auto" w:fill="auto"/>
              <w:tabs>
                <w:tab w:val="left" w:pos="2056"/>
              </w:tabs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Teksttreci95pt"/>
                <w:sz w:val="20"/>
                <w:szCs w:val="20"/>
                <w:lang/>
              </w:rPr>
              <w:t xml:space="preserve">Paryż, </w:t>
            </w:r>
            <w:r>
              <w:rPr>
                <w:rFonts w:ascii="Arial Narrow" w:hAnsi="Arial Narrow"/>
                <w:b/>
                <w:bCs/>
                <w:sz w:val="20"/>
                <w:lang/>
              </w:rPr>
              <w:t xml:space="preserve">15 </w:t>
            </w:r>
            <w:r>
              <w:rPr>
                <w:rStyle w:val="PogrubienieTeksttreciArialNarrow105pt"/>
                <w:rFonts w:cs="Arial"/>
                <w:sz w:val="20"/>
                <w:szCs w:val="20"/>
                <w:lang/>
              </w:rPr>
              <w:t>CZERWCA 2016</w:t>
            </w:r>
          </w:p>
        </w:tc>
      </w:tr>
      <w:tr w:rsidR="003B0376" w:rsidRPr="0052401F" w:rsidTr="00BE365B">
        <w:trPr>
          <w:trHeight w:val="2329"/>
        </w:trPr>
        <w:tc>
          <w:tcPr>
            <w:tcW w:w="5928" w:type="dxa"/>
            <w:shd w:val="clear" w:color="auto" w:fill="FFFFFF"/>
          </w:tcPr>
          <w:p w:rsidR="0052401F" w:rsidRDefault="0052401F" w:rsidP="0052401F">
            <w:pPr>
              <w:pStyle w:val="Teksttreci0"/>
              <w:shd w:val="clear" w:color="auto" w:fill="auto"/>
              <w:spacing w:line="240" w:lineRule="auto"/>
              <w:ind w:right="1655"/>
              <w:jc w:val="left"/>
              <w:rPr>
                <w:rStyle w:val="Teksttreci95ptKursywa"/>
                <w:sz w:val="20"/>
                <w:szCs w:val="20"/>
                <w:lang/>
              </w:rPr>
            </w:pPr>
            <w:r>
              <w:rPr>
                <w:rStyle w:val="Teksttreci95ptKursywa"/>
                <w:sz w:val="20"/>
                <w:szCs w:val="20"/>
                <w:lang/>
              </w:rPr>
              <w:t>Dyrekcja ds. usług przewozowych</w:t>
            </w:r>
          </w:p>
          <w:p w:rsidR="0052401F" w:rsidRDefault="00BE365B" w:rsidP="0052401F">
            <w:pPr>
              <w:pStyle w:val="Teksttreci0"/>
              <w:shd w:val="clear" w:color="auto" w:fill="auto"/>
              <w:spacing w:line="240" w:lineRule="auto"/>
              <w:ind w:right="1655"/>
              <w:jc w:val="left"/>
              <w:rPr>
                <w:rStyle w:val="Teksttreci95ptKursywa"/>
                <w:sz w:val="20"/>
                <w:szCs w:val="20"/>
                <w:lang/>
              </w:rPr>
            </w:pPr>
            <w:proofErr w:type="spellStart"/>
            <w:r>
              <w:rPr>
                <w:rStyle w:val="Teksttreci95ptKursywa"/>
                <w:sz w:val="20"/>
                <w:szCs w:val="20"/>
                <w:lang/>
              </w:rPr>
              <w:t>Poddy</w:t>
            </w:r>
            <w:r w:rsidR="0052401F">
              <w:rPr>
                <w:rStyle w:val="Teksttreci95ptKursywa"/>
                <w:sz w:val="20"/>
                <w:szCs w:val="20"/>
                <w:lang/>
              </w:rPr>
              <w:t>rekcja</w:t>
            </w:r>
            <w:proofErr w:type="spellEnd"/>
            <w:r w:rsidR="0052401F">
              <w:rPr>
                <w:rStyle w:val="Teksttreci95ptKursywa"/>
                <w:sz w:val="20"/>
                <w:szCs w:val="20"/>
                <w:lang/>
              </w:rPr>
              <w:t xml:space="preserve"> ds. transportu drogowego</w:t>
            </w:r>
          </w:p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ind w:right="1655"/>
              <w:jc w:val="left"/>
              <w:rPr>
                <w:i/>
                <w:iCs/>
                <w:sz w:val="20"/>
                <w:szCs w:val="20"/>
                <w:lang/>
              </w:rPr>
            </w:pPr>
            <w:proofErr w:type="spellStart"/>
            <w:r>
              <w:rPr>
                <w:rStyle w:val="Teksttreci95ptKursywa"/>
                <w:sz w:val="20"/>
                <w:szCs w:val="20"/>
                <w:lang/>
              </w:rPr>
              <w:t>Poddyrekcja</w:t>
            </w:r>
            <w:proofErr w:type="spellEnd"/>
            <w:r>
              <w:rPr>
                <w:rStyle w:val="Teksttreci95ptKursywa"/>
                <w:sz w:val="20"/>
                <w:szCs w:val="20"/>
                <w:lang/>
              </w:rPr>
              <w:t xml:space="preserve"> ds. pracy i opieki społecznej </w:t>
            </w:r>
          </w:p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ind w:right="1655"/>
              <w:jc w:val="left"/>
              <w:rPr>
                <w:sz w:val="20"/>
                <w:szCs w:val="20"/>
                <w:lang w:val="pl-PL"/>
              </w:rPr>
            </w:pPr>
            <w:r>
              <w:rPr>
                <w:rStyle w:val="Teksttreci95ptKursywa"/>
                <w:sz w:val="20"/>
                <w:szCs w:val="20"/>
                <w:lang/>
              </w:rPr>
              <w:t>Biuro ds. organizacji i animacji kontroli transportu drogowego</w:t>
            </w:r>
          </w:p>
          <w:p w:rsidR="00BE365B" w:rsidRPr="0052401F" w:rsidRDefault="00BE365B" w:rsidP="00BE365B">
            <w:pPr>
              <w:pStyle w:val="Teksttreci0"/>
              <w:shd w:val="clear" w:color="auto" w:fill="auto"/>
              <w:spacing w:line="240" w:lineRule="auto"/>
              <w:ind w:right="663"/>
              <w:jc w:val="left"/>
              <w:rPr>
                <w:rStyle w:val="TeksttreciVerdana65pt"/>
                <w:rFonts w:ascii="Arial" w:hAnsi="Arial" w:cs="Arial"/>
                <w:sz w:val="18"/>
                <w:szCs w:val="20"/>
                <w:lang w:val="pl-PL"/>
              </w:rPr>
            </w:pPr>
            <w:r>
              <w:rPr>
                <w:rStyle w:val="PogrubienieTeksttreciArial7pt"/>
                <w:sz w:val="18"/>
                <w:szCs w:val="20"/>
                <w:lang/>
              </w:rPr>
              <w:t xml:space="preserve">Nadzór nad </w:t>
            </w:r>
            <w:proofErr w:type="gramStart"/>
            <w:r>
              <w:rPr>
                <w:rStyle w:val="PogrubienieTeksttreciArial7pt"/>
                <w:sz w:val="18"/>
                <w:szCs w:val="20"/>
                <w:lang/>
              </w:rPr>
              <w:t>sprawą</w:t>
            </w:r>
            <w:r>
              <w:rPr>
                <w:rStyle w:val="PogrubienieTeksttreciArial7pt"/>
                <w:b w:val="0"/>
                <w:bCs w:val="0"/>
                <w:sz w:val="18"/>
                <w:szCs w:val="20"/>
                <w:lang/>
              </w:rPr>
              <w:t xml:space="preserve"> </w:t>
            </w:r>
            <w:r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  <w:t xml:space="preserve">: </w:t>
            </w:r>
            <w:proofErr w:type="spellStart"/>
            <w:proofErr w:type="gramEnd"/>
            <w:r>
              <w:rPr>
                <w:rStyle w:val="TeksttreciVerdana65pt"/>
                <w:rFonts w:ascii="Arial" w:hAnsi="Arial" w:cs="Arial"/>
                <w:sz w:val="18"/>
                <w:szCs w:val="20"/>
                <w:lang/>
              </w:rPr>
              <w:t>Véronique</w:t>
            </w:r>
            <w:proofErr w:type="spellEnd"/>
            <w:r>
              <w:rPr>
                <w:rStyle w:val="TeksttreciVerdana65pt"/>
                <w:rFonts w:ascii="Arial" w:hAnsi="Arial" w:cs="Arial"/>
                <w:sz w:val="18"/>
                <w:szCs w:val="20"/>
                <w:lang/>
              </w:rPr>
              <w:t xml:space="preserve"> </w:t>
            </w:r>
            <w:proofErr w:type="spellStart"/>
            <w:r>
              <w:rPr>
                <w:rStyle w:val="TeksttreciVerdana65pt"/>
                <w:rFonts w:ascii="Arial" w:hAnsi="Arial" w:cs="Arial"/>
                <w:sz w:val="18"/>
                <w:szCs w:val="20"/>
                <w:lang/>
              </w:rPr>
              <w:t>Grignon</w:t>
            </w:r>
            <w:proofErr w:type="spellEnd"/>
          </w:p>
          <w:p w:rsidR="00BE365B" w:rsidRPr="0052401F" w:rsidRDefault="00BE365B" w:rsidP="00BE365B">
            <w:pPr>
              <w:pStyle w:val="Teksttreci0"/>
              <w:shd w:val="clear" w:color="auto" w:fill="auto"/>
              <w:spacing w:line="240" w:lineRule="auto"/>
              <w:ind w:right="663"/>
              <w:jc w:val="left"/>
              <w:rPr>
                <w:rStyle w:val="TeksttreciVerdana65pt"/>
                <w:rFonts w:ascii="Arial" w:hAnsi="Arial" w:cs="Arial"/>
                <w:sz w:val="18"/>
                <w:szCs w:val="20"/>
                <w:lang w:val="pl-PL"/>
              </w:rPr>
            </w:pPr>
            <w:proofErr w:type="gramStart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veronique</w:t>
            </w:r>
            <w:proofErr w:type="gramEnd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.</w:t>
            </w:r>
            <w:proofErr w:type="gramStart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grignon</w:t>
            </w:r>
            <w:proofErr w:type="gramEnd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@developpement-durable.</w:t>
            </w:r>
            <w:proofErr w:type="gramStart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gouv</w:t>
            </w:r>
            <w:proofErr w:type="gramEnd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.</w:t>
            </w:r>
            <w:proofErr w:type="gramStart"/>
            <w:r>
              <w:rPr>
                <w:rStyle w:val="TeksttreciVerdana65pt"/>
                <w:rFonts w:ascii="Arial" w:eastAsia="Times New Roman" w:hAnsi="Arial" w:cs="Arial"/>
                <w:sz w:val="18"/>
                <w:szCs w:val="20"/>
                <w:lang/>
              </w:rPr>
              <w:t>fr</w:t>
            </w:r>
            <w:proofErr w:type="gramEnd"/>
          </w:p>
          <w:p w:rsidR="003B0376" w:rsidRPr="005F0D43" w:rsidRDefault="00BE365B" w:rsidP="00BE365B">
            <w:pPr>
              <w:pStyle w:val="Teksttreci0"/>
              <w:shd w:val="clear" w:color="auto" w:fill="auto"/>
              <w:spacing w:line="240" w:lineRule="auto"/>
              <w:ind w:right="66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401F">
              <w:rPr>
                <w:rStyle w:val="PogrubienieTeksttreciArial7pt"/>
                <w:bCs w:val="0"/>
                <w:sz w:val="18"/>
                <w:szCs w:val="20"/>
                <w:lang/>
              </w:rPr>
              <w:t>Nr tel.</w:t>
            </w:r>
            <w:r w:rsidRPr="0052401F"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  <w:t>:</w:t>
            </w:r>
            <w:r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  <w:t xml:space="preserve"> </w:t>
            </w:r>
            <w:r>
              <w:rPr>
                <w:rStyle w:val="TeksttreciVerdana65pt"/>
                <w:rFonts w:ascii="Arial" w:hAnsi="Arial" w:cs="Arial"/>
                <w:sz w:val="18"/>
                <w:szCs w:val="20"/>
                <w:lang/>
              </w:rPr>
              <w:t>01 40 8113 90</w:t>
            </w:r>
          </w:p>
        </w:tc>
        <w:tc>
          <w:tcPr>
            <w:tcW w:w="4288" w:type="dxa"/>
            <w:shd w:val="clear" w:color="auto" w:fill="FFFFFF"/>
          </w:tcPr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  <w:lang w:val="pl-PL"/>
              </w:rPr>
            </w:pPr>
            <w:r>
              <w:rPr>
                <w:rStyle w:val="PogrubienieTeksttreciArial85pt"/>
                <w:rFonts w:ascii="Times New Roman" w:hAnsi="Times New Roman" w:cs="Times New Roman"/>
                <w:sz w:val="20"/>
                <w:szCs w:val="20"/>
                <w:lang/>
              </w:rPr>
              <w:t>Dyrektor ds. usług przewozowych</w:t>
            </w:r>
          </w:p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  <w:lang w:val="pl-PL"/>
              </w:rPr>
            </w:pPr>
            <w:proofErr w:type="gramStart"/>
            <w:r>
              <w:rPr>
                <w:rStyle w:val="TeksttreciVerdana65pt"/>
                <w:rFonts w:ascii="Times New Roman" w:hAnsi="Times New Roman" w:cs="Times New Roman"/>
                <w:sz w:val="20"/>
                <w:szCs w:val="20"/>
                <w:lang/>
              </w:rPr>
              <w:t>do</w:t>
            </w:r>
            <w:proofErr w:type="gramEnd"/>
          </w:p>
          <w:p w:rsidR="0052401F" w:rsidRDefault="0052401F" w:rsidP="0052401F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</w:pPr>
            <w:r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  <w:t>Sz. P. Prefektowie regionów</w:t>
            </w:r>
          </w:p>
          <w:p w:rsidR="003B0376" w:rsidRPr="0052401F" w:rsidRDefault="00BE365B" w:rsidP="00BE365B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Style w:val="Teksttreci95pt"/>
                <w:rFonts w:ascii="Arial" w:hAnsi="Arial" w:cs="Arial"/>
                <w:sz w:val="18"/>
                <w:szCs w:val="20"/>
                <w:lang/>
              </w:rPr>
              <w:t>Dyrekcje regionalne ds. środowiska, gospodarki przestrzennej i mieszkalnictwa</w:t>
            </w:r>
          </w:p>
        </w:tc>
      </w:tr>
    </w:tbl>
    <w:p w:rsidR="003B0376" w:rsidRPr="0052401F" w:rsidRDefault="00BE365B" w:rsidP="00BE365B">
      <w:pPr>
        <w:pStyle w:val="Teksttreci30"/>
        <w:shd w:val="clear" w:color="auto" w:fill="auto"/>
        <w:spacing w:before="720" w:line="240" w:lineRule="auto"/>
        <w:ind w:left="1701"/>
        <w:jc w:val="both"/>
        <w:rPr>
          <w:sz w:val="20"/>
          <w:lang w:val="pl-PL"/>
        </w:rPr>
      </w:pPr>
      <w:proofErr w:type="gramStart"/>
      <w:r>
        <w:rPr>
          <w:rStyle w:val="PogrubienieTeksttreci3105pt"/>
          <w:sz w:val="22"/>
          <w:lang/>
        </w:rPr>
        <w:t xml:space="preserve">Przedmiot </w:t>
      </w:r>
      <w:r>
        <w:rPr>
          <w:sz w:val="20"/>
          <w:lang/>
        </w:rPr>
        <w:t xml:space="preserve">: </w:t>
      </w:r>
      <w:proofErr w:type="gramEnd"/>
      <w:r>
        <w:rPr>
          <w:sz w:val="20"/>
          <w:lang/>
        </w:rPr>
        <w:t>Załogi dwuosobowe: odstępstwa dotyczące odpoczynku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proofErr w:type="gramStart"/>
      <w:r>
        <w:rPr>
          <w:rStyle w:val="PogrubienieTeksttreci3105pt"/>
          <w:sz w:val="22"/>
          <w:lang/>
        </w:rPr>
        <w:t xml:space="preserve">Zał. </w:t>
      </w:r>
      <w:r>
        <w:rPr>
          <w:sz w:val="20"/>
          <w:lang/>
        </w:rPr>
        <w:t xml:space="preserve">: </w:t>
      </w:r>
      <w:proofErr w:type="gramEnd"/>
      <w:r>
        <w:rPr>
          <w:sz w:val="20"/>
          <w:lang/>
        </w:rPr>
        <w:t>Wytyczne nr 2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 xml:space="preserve">Zgodnie z art. 7-1 rozporządzenia (WE) 561/2006 z 20 marca 2006 r. </w:t>
      </w:r>
      <w:r>
        <w:rPr>
          <w:rStyle w:val="Teksttreci3Kursywa"/>
          <w:sz w:val="20"/>
          <w:lang/>
        </w:rPr>
        <w:t>w sprawie harmonizacji niektórych przepisów socjalnych odnoszących się do transportu drogowego</w:t>
      </w:r>
      <w:r>
        <w:rPr>
          <w:rStyle w:val="Teksttreci3Arial85ptKursywa"/>
          <w:rFonts w:ascii="Times New Roman" w:hAnsi="Times New Roman" w:cs="Times New Roman"/>
          <w:i w:val="0"/>
          <w:iCs w:val="0"/>
          <w:lang/>
        </w:rPr>
        <w:t>:</w:t>
      </w:r>
      <w:r>
        <w:rPr>
          <w:sz w:val="20"/>
          <w:lang/>
        </w:rPr>
        <w:t xml:space="preserve"> „Po okresie prowadzenia pojazdu trwającym cztery i pół godziny kierowcy przysługuje ciągła przerwa </w:t>
      </w:r>
      <w:proofErr w:type="gramStart"/>
      <w:r>
        <w:rPr>
          <w:sz w:val="20"/>
          <w:lang/>
        </w:rPr>
        <w:t>trwająca co</w:t>
      </w:r>
      <w:proofErr w:type="gramEnd"/>
      <w:r>
        <w:rPr>
          <w:sz w:val="20"/>
          <w:lang/>
        </w:rPr>
        <w:t xml:space="preserve"> najmniej czterdzieści pięć minut, chyba że kierowca rozpoczyna okres odpoczynku”.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 xml:space="preserve">W wytycznych nr 2, załączonych do niniejszego dokumentu, Komisja zaznaczyła jednak, że podczas prowadzenia pojazdu w kilkuosobowej załodze, dla drugiego członka załogi gotowego do prowadzenia pojazdu, który siedzi obok kierowcy pojazdu i nie jest aktualnie zajęty pomaganiem mu, 45 </w:t>
      </w:r>
      <w:r>
        <w:rPr>
          <w:rStyle w:val="PogrubienieTeksttreci3105pt"/>
          <w:sz w:val="22"/>
          <w:lang/>
        </w:rPr>
        <w:t>minut okresu gotowości (w rozumieniu dyrektywy</w:t>
      </w:r>
      <w:r>
        <w:rPr>
          <w:rStyle w:val="PogrubienieTeksttreci3105pt"/>
          <w:b w:val="0"/>
          <w:bCs w:val="0"/>
          <w:sz w:val="22"/>
          <w:lang/>
        </w:rPr>
        <w:t xml:space="preserve"> </w:t>
      </w:r>
      <w:r>
        <w:rPr>
          <w:sz w:val="20"/>
          <w:lang/>
        </w:rPr>
        <w:t xml:space="preserve">2002/15/WE – </w:t>
      </w:r>
      <w:r>
        <w:rPr>
          <w:rStyle w:val="PogrubienieTeksttreci3105pt"/>
          <w:sz w:val="22"/>
          <w:lang/>
        </w:rPr>
        <w:t>art. 3b) może być uważany za przerwę,</w:t>
      </w:r>
      <w:r>
        <w:rPr>
          <w:rStyle w:val="PogrubienieTeksttreci3105pt"/>
          <w:b w:val="0"/>
          <w:bCs w:val="0"/>
          <w:sz w:val="22"/>
          <w:lang/>
        </w:rPr>
        <w:t xml:space="preserve"> </w:t>
      </w:r>
      <w:r>
        <w:rPr>
          <w:sz w:val="20"/>
          <w:lang/>
        </w:rPr>
        <w:t>ponieważ tachograf cyfrowy nie może zarejestrować przerwy w czasie jazdy.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Z informacji podanych przez Komisję Europejską wynika, że stanowisko przedstawione w wytycznych nr 2, dzielone do tej pory przez kraje członkowskie UE, miało na celu możliwie najbardziej jednolite wdrażanie obowiązujących przepisów.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 xml:space="preserve">W konsekwencji, brak przerwy należycie zarejestrowanej pod oznaczeniem „ht” nie pociąga za sobą żadnych sankcji; w tym konkretnym przypadku wystarczająca będzie obowiązkowa 45-minutowa </w:t>
      </w:r>
      <w:proofErr w:type="gramStart"/>
      <w:r>
        <w:rPr>
          <w:sz w:val="20"/>
          <w:lang/>
        </w:rPr>
        <w:t>przerwa</w:t>
      </w:r>
      <w:proofErr w:type="gramEnd"/>
      <w:r>
        <w:rPr>
          <w:sz w:val="20"/>
          <w:lang/>
        </w:rPr>
        <w:t xml:space="preserve"> oznaczona symbolem „przekreślonego kwadratu”.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To złagodzenie przepisów ma ściśle określony zakres stosowania i nie obejmuje przewozów wykonywanych przez jednego kierowcę (załogę jednoosobową); w takim przypadku, występującym zdecydowanie najczęściej, nieprzerwany odpoczynek kierowcy, odbywający się podczas postoju pojazdu, musi być oznaczony symbolem „łóżko”.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lastRenderedPageBreak/>
        <w:t>Doniesiono mi, że niektóre organy kontroli mogły wywnioskować z nowych przepisów rozporządzenia 165/2014 z 4 lutego 2014 r., że interpretacja podana w wytycznych Komisji nr 2 automatycznie przestaje obowiązywać i że w związku z tym sporządzono protokoły stwierdzenia naruszenia za brak obowiązkowej przerwy drugiego członka załogi.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Jeśli przedsiębiorstwom umieszczonym na tych protokołach nakazano wpłacić depozyt, należy niezwłocznie poinformować właściwe prokuratury o powyższym stanowisku. Postępowanie będzie mogło zostać umorzone, co pozwoli przedsiębiorstwu na wystąpienie do Skarbu Państwa o zwrot depozytu.</w:t>
      </w:r>
    </w:p>
    <w:p w:rsidR="003B0376" w:rsidRPr="0052401F" w:rsidRDefault="00BE365B" w:rsidP="00BE365B">
      <w:pPr>
        <w:pStyle w:val="Teksttreci30"/>
        <w:shd w:val="clear" w:color="auto" w:fill="auto"/>
        <w:spacing w:after="240"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Jeśli mają Państwo dodatkowe pytania, pozostaję do Państwa dyspozycji.</w:t>
      </w:r>
    </w:p>
    <w:p w:rsidR="003B0376" w:rsidRPr="005F0D43" w:rsidRDefault="00666C44" w:rsidP="00BE365B">
      <w:pPr>
        <w:spacing w:after="240"/>
        <w:ind w:left="1701"/>
        <w:jc w:val="right"/>
        <w:rPr>
          <w:rFonts w:ascii="Times New Roman" w:hAnsi="Times New Roman" w:cs="Times New Roman"/>
          <w:sz w:val="20"/>
          <w:szCs w:val="2"/>
        </w:rPr>
      </w:pPr>
      <w:r>
        <w:rPr>
          <w:rFonts w:ascii="Times New Roman" w:hAnsi="Times New Roman" w:cs="Times New Roman"/>
          <w:lang/>
        </w:rPr>
        <w:fldChar w:fldCharType="begin"/>
      </w:r>
      <w:r w:rsidR="00A625A8">
        <w:rPr>
          <w:rFonts w:ascii="Times New Roman" w:hAnsi="Times New Roman" w:cs="Times New Roman"/>
          <w:lang/>
        </w:rPr>
        <w:instrText xml:space="preserve"> INCLUDEPICTURE  "X:\\Praca\\Lidex\\17. 21.06.2016 ZMPD\\media\\image2.jpeg" \* MERGEFORMATINET </w:instrText>
      </w:r>
      <w:r>
        <w:rPr>
          <w:rFonts w:ascii="Times New Roman" w:hAnsi="Times New Roman" w:cs="Times New Roman"/>
          <w:lang/>
        </w:rPr>
        <w:fldChar w:fldCharType="separate"/>
      </w:r>
      <w:r w:rsidR="00DE2BC6" w:rsidRPr="00666C44">
        <w:rPr>
          <w:rFonts w:ascii="Times New Roman" w:hAnsi="Times New Roman" w:cs="Times New Roman"/>
          <w:lang/>
        </w:rPr>
        <w:pict>
          <v:shape id="_x0000_i1025" type="#_x0000_t75" style="width:200.35pt;height:69.5pt">
            <v:imagedata r:id="rId8" r:href="rId9"/>
          </v:shape>
        </w:pict>
      </w:r>
      <w:r>
        <w:rPr>
          <w:rFonts w:ascii="Times New Roman" w:hAnsi="Times New Roman" w:cs="Times New Roman"/>
          <w:lang/>
        </w:rPr>
        <w:fldChar w:fldCharType="end"/>
      </w:r>
    </w:p>
    <w:p w:rsidR="003B0376" w:rsidRPr="0052401F" w:rsidRDefault="00BE365B" w:rsidP="00BE365B">
      <w:pPr>
        <w:pStyle w:val="Teksttreci90"/>
        <w:shd w:val="clear" w:color="auto" w:fill="auto"/>
        <w:spacing w:before="840" w:line="240" w:lineRule="auto"/>
        <w:ind w:left="1701"/>
        <w:rPr>
          <w:sz w:val="22"/>
          <w:lang w:val="pl-PL"/>
        </w:rPr>
      </w:pPr>
      <w:r>
        <w:rPr>
          <w:sz w:val="22"/>
          <w:lang/>
        </w:rPr>
        <w:t>Do wiadomości:</w:t>
      </w:r>
    </w:p>
    <w:p w:rsidR="00BE365B" w:rsidRPr="0052401F" w:rsidRDefault="00BE365B" w:rsidP="00BE365B">
      <w:pPr>
        <w:pStyle w:val="Teksttreci30"/>
        <w:shd w:val="clear" w:color="auto" w:fill="auto"/>
        <w:spacing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Ministerstwo Spraw Wewnętrznych: UCLIR – DSCR</w:t>
      </w:r>
    </w:p>
    <w:p w:rsidR="00BE365B" w:rsidRPr="0052401F" w:rsidRDefault="00BE365B" w:rsidP="00BE365B">
      <w:pPr>
        <w:pStyle w:val="Teksttreci30"/>
        <w:shd w:val="clear" w:color="auto" w:fill="auto"/>
        <w:spacing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Ministerstwo Finansów: DGDDI</w:t>
      </w:r>
    </w:p>
    <w:p w:rsidR="00BE365B" w:rsidRPr="0052401F" w:rsidRDefault="00BE365B" w:rsidP="00BE365B">
      <w:pPr>
        <w:pStyle w:val="Teksttreci30"/>
        <w:shd w:val="clear" w:color="auto" w:fill="auto"/>
        <w:spacing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Ministerstwo Pracy: DGT</w:t>
      </w:r>
    </w:p>
    <w:p w:rsidR="00BE365B" w:rsidRPr="0052401F" w:rsidRDefault="00BE365B" w:rsidP="00BE365B">
      <w:pPr>
        <w:pStyle w:val="Teksttreci30"/>
        <w:shd w:val="clear" w:color="auto" w:fill="auto"/>
        <w:spacing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Ministerstwo Sprawiedliwości: DACG</w:t>
      </w:r>
    </w:p>
    <w:p w:rsidR="003B0376" w:rsidRPr="0052401F" w:rsidRDefault="00BE365B" w:rsidP="00BE365B">
      <w:pPr>
        <w:pStyle w:val="Teksttreci30"/>
        <w:shd w:val="clear" w:color="auto" w:fill="auto"/>
        <w:spacing w:line="240" w:lineRule="auto"/>
        <w:ind w:left="1701"/>
        <w:jc w:val="both"/>
        <w:rPr>
          <w:sz w:val="20"/>
          <w:lang w:val="pl-PL"/>
        </w:rPr>
      </w:pPr>
      <w:r>
        <w:rPr>
          <w:sz w:val="20"/>
          <w:lang/>
        </w:rPr>
        <w:t>DREAL: Szefowie służb ds. transportu drogowego</w:t>
      </w:r>
    </w:p>
    <w:p w:rsidR="00BE365B" w:rsidRPr="0052401F" w:rsidRDefault="00BE365B" w:rsidP="00BE365B">
      <w:pPr>
        <w:pStyle w:val="Teksttreci30"/>
        <w:shd w:val="clear" w:color="auto" w:fill="auto"/>
        <w:spacing w:after="240" w:line="240" w:lineRule="auto"/>
        <w:jc w:val="both"/>
        <w:rPr>
          <w:sz w:val="20"/>
          <w:lang w:val="pl-PL"/>
        </w:rPr>
        <w:sectPr w:rsidR="00BE365B" w:rsidRPr="0052401F" w:rsidSect="00BE365B">
          <w:footerReference w:type="default" r:id="rId10"/>
          <w:pgSz w:w="11909" w:h="16834" w:code="21"/>
          <w:pgMar w:top="1418" w:right="851" w:bottom="3828" w:left="851" w:header="284" w:footer="56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4"/>
      </w:tblGrid>
      <w:tr w:rsidR="003B0376" w:rsidRPr="005F0D43" w:rsidTr="00FA7CCB">
        <w:trPr>
          <w:trHeight w:val="624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376" w:rsidRPr="005F0D43" w:rsidRDefault="00BE365B" w:rsidP="005F0D43">
            <w:pPr>
              <w:pStyle w:val="Teksttreci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PogrubienieTeksttreci105ptMaelitery"/>
                <w:sz w:val="24"/>
                <w:szCs w:val="24"/>
                <w:lang/>
              </w:rPr>
              <w:lastRenderedPageBreak/>
              <w:t>Wytyczne nr 2</w:t>
            </w:r>
          </w:p>
        </w:tc>
      </w:tr>
    </w:tbl>
    <w:p w:rsidR="003B0376" w:rsidRPr="005F0D43" w:rsidRDefault="003B0376" w:rsidP="005F0D43">
      <w:pPr>
        <w:ind w:left="57" w:right="57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4"/>
      </w:tblGrid>
      <w:tr w:rsidR="003B0376" w:rsidRPr="0052401F" w:rsidTr="00FA7CCB">
        <w:trPr>
          <w:trHeight w:val="2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76" w:rsidRPr="0052401F" w:rsidRDefault="00BE365B" w:rsidP="005F0D43">
            <w:pPr>
              <w:pStyle w:val="Teksttreci0"/>
              <w:shd w:val="clear" w:color="auto" w:fill="auto"/>
              <w:spacing w:before="120"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PogrubienieTeksttreci105pt"/>
                <w:sz w:val="24"/>
                <w:szCs w:val="24"/>
                <w:lang/>
              </w:rPr>
              <w:t>Przedmiot:</w:t>
            </w:r>
            <w:r>
              <w:rPr>
                <w:rStyle w:val="PogrubienieTeksttreci105pt"/>
                <w:b w:val="0"/>
                <w:bCs w:val="0"/>
                <w:sz w:val="24"/>
                <w:szCs w:val="24"/>
                <w:lang/>
              </w:rPr>
              <w:t xml:space="preserve"> </w:t>
            </w:r>
            <w:r>
              <w:rPr>
                <w:rStyle w:val="Teksttreci105pt"/>
                <w:sz w:val="24"/>
                <w:szCs w:val="24"/>
                <w:lang/>
              </w:rPr>
              <w:t>Rejestracja czasu prowadzenia pojazdu do miejsca innego niż zwykłe miejsce przejmowania lub zdawania pojazdu objętego zakresem rozporządzenia (WE) nr 561/2006.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PogrubienieTeksttreci105pt"/>
                <w:sz w:val="24"/>
                <w:szCs w:val="24"/>
                <w:lang/>
              </w:rPr>
              <w:t>Art. 9 rozporządzenia (WE) nr 561/2006.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PogrubienieTeksttreci105pt"/>
                <w:sz w:val="24"/>
                <w:szCs w:val="24"/>
                <w:lang/>
              </w:rPr>
              <w:t>Właściwe podejście: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>Kierowca, który udaje się w ko</w:t>
            </w:r>
            <w:bookmarkStart w:id="0" w:name="_GoBack"/>
            <w:bookmarkEnd w:id="0"/>
            <w:r>
              <w:rPr>
                <w:rStyle w:val="Teksttreci105pt"/>
                <w:sz w:val="24"/>
                <w:szCs w:val="24"/>
                <w:lang/>
              </w:rPr>
              <w:t>nkretne miejsce wskazane przez pracodawcę, inne niż baza pracodawcy, aby przejąć „pojazd z tachografem”, spełnia obowiązek wobec pracodawcy i nie dysponuje swobodnie swoim czasem.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>W konsekwencji, zgodnie z art. 9, ust. 2 i 3:</w:t>
            </w:r>
          </w:p>
          <w:p w:rsidR="003B0376" w:rsidRPr="0052401F" w:rsidRDefault="00BE365B" w:rsidP="005F0D4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czas spędzony na dojeździe do miejsca postoju pojazdu lub powrotu z tego miejsca, jeżeli pojazd nie znajduje się ani w miejscu zamieszkania kierowcy, ani w bazie pracodawcy, do którego kierowca musi się udać w celu przejęcia lub zdania pojazdu objętego zakresem rozporządzenia, niezależnie od tego, czy pracodawca określił szczegółowo czas i warunki trasy, czy pozostawił tę decyzję kierowcy, powinien być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liczony jako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czas „gotowości” lub wykonywania „innej pracy”, zgodnie z ustawodawstwem danego państwa członkowskiego;</w:t>
            </w:r>
          </w:p>
          <w:p w:rsidR="003B0376" w:rsidRPr="005F0D43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oraz</w:t>
            </w:r>
            <w:proofErr w:type="gramEnd"/>
          </w:p>
          <w:p w:rsidR="003B0376" w:rsidRPr="0052401F" w:rsidRDefault="00BE365B" w:rsidP="005F0D4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czas spędzony przez kierowcę kierującego pojazdem </w:t>
            </w:r>
            <w:r>
              <w:rPr>
                <w:rStyle w:val="Teksttreci105pt"/>
                <w:sz w:val="24"/>
                <w:szCs w:val="24"/>
                <w:u w:val="single"/>
                <w:lang/>
              </w:rPr>
              <w:t>nieobjętym zakresem</w:t>
            </w:r>
            <w:r>
              <w:rPr>
                <w:rStyle w:val="Teksttreci105pt"/>
                <w:sz w:val="24"/>
                <w:szCs w:val="24"/>
                <w:lang/>
              </w:rPr>
              <w:t xml:space="preserve"> rozporządzenia do lub z pojazdu objętego zakresem rozporządzenia, który nie znajduje się w miejscu zamieszkania kierowcy ani w bazie pracodawcy, gdzie kierowca zazwyczaj pracuje, jest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traktowany jako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„inna praca”.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Czas spędzony w podróży może być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traktowany jako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„odpoczynek” lub „przerwa” w trzech następujących przypadkach: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u w:val="single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Po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pierwsze: kiedy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kierowca towarzyszy pojazdowi transportowanemu promem lub pociągiem. Ten czas może być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traktowany jako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przerwa lub odpoczynek, </w:t>
            </w:r>
            <w:r>
              <w:rPr>
                <w:rStyle w:val="Teksttreci105pt"/>
                <w:sz w:val="24"/>
                <w:szCs w:val="24"/>
                <w:u w:val="single"/>
                <w:lang/>
              </w:rPr>
              <w:t>jeśli kierowca ma dostęp do koi lub kuszetki (art. 9, ust. 1).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Po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drugie: kiedy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kierowca nie towarzyszy pojazdowi, lecz podróżuje promem lub pociągiem do lub z pojazdu objętego zakresem rozporządzenia (art. 9, ust. 2), jeśli ma dostęp do koi lub kuszetki.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 xml:space="preserve">Trzeci przypadek dotyczy pojazdów, którymi podróżuje więcej niż jeden kierowca. Jeśli drugi członek załogi jest gotowy do prowadzenia pojazdu, siedzi obok kierowcy i nie jest zajęty pomaganiem mu, 45 minut „okresu gotowości” tego członka załogi może być </w:t>
            </w:r>
            <w:proofErr w:type="gramStart"/>
            <w:r>
              <w:rPr>
                <w:rStyle w:val="Teksttreci105pt"/>
                <w:sz w:val="24"/>
                <w:szCs w:val="24"/>
                <w:lang/>
              </w:rPr>
              <w:t>traktowane jako</w:t>
            </w:r>
            <w:proofErr w:type="gramEnd"/>
            <w:r>
              <w:rPr>
                <w:rStyle w:val="Teksttreci105pt"/>
                <w:sz w:val="24"/>
                <w:szCs w:val="24"/>
                <w:lang/>
              </w:rPr>
              <w:t xml:space="preserve"> „przerwa”.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>Rodzaj umowy o pracę zawartej przez kierowcę nie ma wpływu na powyższe postanowienia. Oznacza to, że dotyczą one zarówno kierowców zatrudnionych na stałe, jak i tych zatrudnionych przez agencje pracy tymczasowej.</w:t>
            </w:r>
          </w:p>
          <w:p w:rsidR="00BE365B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Teksttreci105pt"/>
                <w:sz w:val="24"/>
                <w:szCs w:val="24"/>
                <w:lang/>
              </w:rPr>
              <w:t>W przypadku kierowcy zatrudnionego przez agencję pracy tymczasowej „baza pracodawcy” odnosi się do siedziby przedsiębiorstwa korzystającego z usług kierowcy w ramach transportu drogowego („przedsiębiorstwo przyjmujące”), a nie siedziby „agencji pracy tymczasowej”.</w:t>
            </w:r>
          </w:p>
          <w:p w:rsidR="003B0376" w:rsidRPr="0052401F" w:rsidRDefault="00BE365B" w:rsidP="005F0D43">
            <w:pPr>
              <w:pStyle w:val="Teksttreci0"/>
              <w:shd w:val="clear" w:color="auto" w:fill="auto"/>
              <w:spacing w:after="120" w:line="240" w:lineRule="auto"/>
              <w:ind w:left="57" w:right="57"/>
              <w:rPr>
                <w:sz w:val="24"/>
                <w:szCs w:val="24"/>
                <w:lang w:val="pl-PL"/>
              </w:rPr>
            </w:pPr>
            <w:r>
              <w:rPr>
                <w:rStyle w:val="PogrubienieTeksttreci105pt"/>
                <w:sz w:val="24"/>
                <w:szCs w:val="24"/>
                <w:lang/>
              </w:rPr>
              <w:t>Komentarz</w:t>
            </w:r>
            <w:r>
              <w:rPr>
                <w:rStyle w:val="Teksttreci105pt"/>
                <w:sz w:val="24"/>
                <w:szCs w:val="24"/>
                <w:lang/>
              </w:rPr>
              <w:t>: Orzeczenie Trybunału Sprawiedliwości Wspólnot Europejskich w sprawach C-76/77 i C-297/99.</w:t>
            </w:r>
          </w:p>
        </w:tc>
      </w:tr>
    </w:tbl>
    <w:p w:rsidR="003B0376" w:rsidRPr="0052401F" w:rsidRDefault="003B0376" w:rsidP="00BE365B">
      <w:pPr>
        <w:spacing w:after="240"/>
        <w:jc w:val="both"/>
        <w:rPr>
          <w:rFonts w:ascii="Times New Roman" w:hAnsi="Times New Roman" w:cs="Times New Roman"/>
          <w:lang w:val="pl-PL"/>
        </w:rPr>
      </w:pPr>
    </w:p>
    <w:sectPr w:rsidR="003B0376" w:rsidRPr="0052401F" w:rsidSect="00BE365B">
      <w:headerReference w:type="default" r:id="rId11"/>
      <w:footerReference w:type="default" r:id="rId12"/>
      <w:pgSz w:w="11909" w:h="16834" w:code="21"/>
      <w:pgMar w:top="1418" w:right="851" w:bottom="1418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A8" w:rsidRDefault="00A625A8" w:rsidP="003B0376">
      <w:r>
        <w:separator/>
      </w:r>
    </w:p>
  </w:endnote>
  <w:endnote w:type="continuationSeparator" w:id="0">
    <w:p w:rsidR="00A625A8" w:rsidRDefault="00A625A8" w:rsidP="003B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5B" w:rsidRPr="00BE365B" w:rsidRDefault="00BE365B" w:rsidP="00BE365B">
    <w:pPr>
      <w:pStyle w:val="Nagweklubstopka0"/>
      <w:shd w:val="clear" w:color="auto" w:fill="auto"/>
      <w:spacing w:line="240" w:lineRule="auto"/>
      <w:rPr>
        <w:rFonts w:ascii="Arial" w:hAnsi="Arial" w:cs="Arial"/>
        <w:sz w:val="18"/>
      </w:rPr>
    </w:pPr>
    <w:proofErr w:type="gramStart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www</w:t>
    </w:r>
    <w:proofErr w:type="gramEnd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 xml:space="preserve">. </w:t>
    </w:r>
    <w:proofErr w:type="gramStart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developpement-durable</w:t>
    </w:r>
    <w:proofErr w:type="gramEnd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.</w:t>
    </w:r>
    <w:proofErr w:type="gramStart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gouv</w:t>
    </w:r>
    <w:proofErr w:type="gramEnd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.</w:t>
    </w:r>
    <w:proofErr w:type="gramStart"/>
    <w:r>
      <w:rPr>
        <w:rStyle w:val="NagweklubstopkaVerdana6ptBezpogrubienia"/>
        <w:rFonts w:ascii="Arial" w:hAnsi="Arial" w:cs="Arial"/>
        <w:b/>
        <w:bCs/>
        <w:i/>
        <w:iCs/>
        <w:sz w:val="14"/>
        <w:lang/>
      </w:rPr>
      <w:t>fr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5B" w:rsidRDefault="00BE3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A8" w:rsidRDefault="00A625A8"/>
  </w:footnote>
  <w:footnote w:type="continuationSeparator" w:id="0">
    <w:p w:rsidR="00A625A8" w:rsidRDefault="00A62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5B" w:rsidRPr="0052401F" w:rsidRDefault="00BE365B" w:rsidP="00BE365B">
    <w:pPr>
      <w:pStyle w:val="Nagweklubstopka0"/>
      <w:shd w:val="clear" w:color="auto" w:fill="auto"/>
      <w:spacing w:line="240" w:lineRule="auto"/>
      <w:jc w:val="center"/>
      <w:rPr>
        <w:b w:val="0"/>
        <w:sz w:val="24"/>
        <w:szCs w:val="24"/>
        <w:lang w:val="pl-PL"/>
      </w:rPr>
    </w:pPr>
    <w:r>
      <w:rPr>
        <w:rStyle w:val="NagweklubstopkaVerdana6ptBezpogrubieniaMaelitery"/>
        <w:rFonts w:ascii="Times New Roman" w:hAnsi="Times New Roman" w:cs="Times New Roman"/>
        <w:b/>
        <w:bCs/>
        <w:i/>
        <w:iCs/>
        <w:sz w:val="24"/>
        <w:szCs w:val="24"/>
        <w:lang/>
      </w:rPr>
      <w:t>Przepisy socjalne odnoszące się do transportu drogowego</w:t>
    </w:r>
  </w:p>
  <w:p w:rsidR="00BE365B" w:rsidRPr="0052401F" w:rsidRDefault="00BE365B" w:rsidP="00BE365B">
    <w:pPr>
      <w:pStyle w:val="Nagweklubstopka0"/>
      <w:shd w:val="clear" w:color="auto" w:fill="auto"/>
      <w:spacing w:line="240" w:lineRule="auto"/>
      <w:jc w:val="center"/>
      <w:rPr>
        <w:sz w:val="24"/>
        <w:szCs w:val="24"/>
        <w:lang w:val="pl-PL"/>
      </w:rPr>
    </w:pPr>
    <w:r>
      <w:rPr>
        <w:rStyle w:val="Nagweklubstopka115pt"/>
        <w:b/>
        <w:bCs/>
        <w:i/>
        <w:iCs/>
        <w:sz w:val="24"/>
        <w:szCs w:val="24"/>
        <w:lang/>
      </w:rPr>
      <w:t>Rozporządzenie (WE) nr 561/2006, dyrektywa 2006/22/WE, rozporządzenie (EWG) nr 3821/85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2C"/>
    <w:multiLevelType w:val="multilevel"/>
    <w:tmpl w:val="1FAA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0376"/>
    <w:rsid w:val="003B0376"/>
    <w:rsid w:val="0052401F"/>
    <w:rsid w:val="005F0D43"/>
    <w:rsid w:val="00666C44"/>
    <w:rsid w:val="00A625A8"/>
    <w:rsid w:val="00BE365B"/>
    <w:rsid w:val="00DE2BC6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037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0376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3B0376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Verdana6ptBezpogrubienia">
    <w:name w:val="Nagłówek lub stopka + Verdana;6 pt;Bez pogrubienia"/>
    <w:basedOn w:val="Nagweklubstopka"/>
    <w:rsid w:val="003B037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/>
    </w:rPr>
  </w:style>
  <w:style w:type="character" w:customStyle="1" w:styleId="Teksttreci3">
    <w:name w:val="Tekst treści (3)_"/>
    <w:basedOn w:val="Domylnaczcionkaakapitu"/>
    <w:link w:val="Teksttreci30"/>
    <w:rsid w:val="003B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3B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Kursywa">
    <w:name w:val="Tekst treści + 9;5 pt;Kursywa"/>
    <w:basedOn w:val="Teksttreci"/>
    <w:rsid w:val="003B0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/>
    </w:rPr>
  </w:style>
  <w:style w:type="character" w:customStyle="1" w:styleId="Teksttreci95pt">
    <w:name w:val="Tekst treści + 9;5 pt"/>
    <w:basedOn w:val="Teksttreci"/>
    <w:rsid w:val="003B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/>
    </w:rPr>
  </w:style>
  <w:style w:type="character" w:customStyle="1" w:styleId="PogrubienieTeksttreciArialNarrow105pt">
    <w:name w:val="Pogrubienie;Tekst treści + Arial Narrow;10;5 pt"/>
    <w:basedOn w:val="Teksttreci"/>
    <w:rsid w:val="003B037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PogrubienieTeksttreciArial15ptKursywa">
    <w:name w:val="Pogrubienie;Tekst treści + Arial;15 pt;Kursywa"/>
    <w:basedOn w:val="Teksttreci"/>
    <w:rsid w:val="003B037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TeksttreciArialNarrow155pt">
    <w:name w:val="Tekst treści + Arial Narrow;15;5 pt"/>
    <w:basedOn w:val="Teksttreci"/>
    <w:rsid w:val="003B037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PogrubienieTeksttreciArial7pt">
    <w:name w:val="Pogrubienie;Tekst treści + Arial;7 pt"/>
    <w:basedOn w:val="Teksttreci"/>
    <w:rsid w:val="003B03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/>
    </w:rPr>
  </w:style>
  <w:style w:type="character" w:customStyle="1" w:styleId="TeksttreciVerdana65pt">
    <w:name w:val="Tekst treści + Verdana;6;5 pt"/>
    <w:basedOn w:val="Teksttreci"/>
    <w:rsid w:val="003B03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PogrubienieTeksttreciArial85pt">
    <w:name w:val="Pogrubienie;Tekst treści + Arial;8;5 pt"/>
    <w:basedOn w:val="Teksttreci"/>
    <w:rsid w:val="003B03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character" w:customStyle="1" w:styleId="PogrubienieTeksttreci3105pt">
    <w:name w:val="Pogrubienie;Tekst treści (3) + 10;5 pt"/>
    <w:basedOn w:val="Teksttreci3"/>
    <w:rsid w:val="003B0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Teksttreci3Kursywa">
    <w:name w:val="Tekst treści (3) + Kursywa"/>
    <w:basedOn w:val="Teksttreci3"/>
    <w:rsid w:val="003B0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/>
    </w:rPr>
  </w:style>
  <w:style w:type="character" w:customStyle="1" w:styleId="Teksttreci3Arial85ptKursywa">
    <w:name w:val="Tekst treści (3) + Arial;8;5 pt;Kursywa"/>
    <w:basedOn w:val="Teksttreci3"/>
    <w:rsid w:val="003B037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3B0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105ptMaelitery">
    <w:name w:val="Pogrubienie;Tekst treści + 10;5 pt;Małe litery"/>
    <w:basedOn w:val="Teksttreci"/>
    <w:rsid w:val="003B037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NagweklubstopkaVerdana6ptBezpogrubieniaMaelitery">
    <w:name w:val="Nagłówek lub stopka + Verdana;6 pt;Bez pogrubienia;Małe litery"/>
    <w:basedOn w:val="Nagweklubstopka"/>
    <w:rsid w:val="003B0376"/>
    <w:rPr>
      <w:rFonts w:ascii="Verdana" w:eastAsia="Verdana" w:hAnsi="Verdana" w:cs="Verdan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fr-FR"/>
    </w:rPr>
  </w:style>
  <w:style w:type="character" w:customStyle="1" w:styleId="Nagweklubstopka115pt">
    <w:name w:val="Nagłówek lub stopka + 11;5 pt"/>
    <w:basedOn w:val="Nagweklubstopka"/>
    <w:rsid w:val="003B03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PogrubienieTeksttreci105pt">
    <w:name w:val="Pogrubienie;Tekst treści + 10;5 pt"/>
    <w:basedOn w:val="Teksttreci"/>
    <w:rsid w:val="003B0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Teksttreci105pt">
    <w:name w:val="Tekst treści + 10;5 pt"/>
    <w:basedOn w:val="Teksttreci"/>
    <w:rsid w:val="003B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TeksttreciCandara85pt">
    <w:name w:val="Tekst treści + Candara;8;5 pt"/>
    <w:basedOn w:val="Teksttreci"/>
    <w:rsid w:val="003B03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paragraph" w:customStyle="1" w:styleId="Nagweklubstopka0">
    <w:name w:val="Nagłówek lub stopka"/>
    <w:basedOn w:val="Normalny"/>
    <w:link w:val="Nagweklubstopka"/>
    <w:rsid w:val="003B0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3B0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B037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3B03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E3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65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3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6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../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Piekut</dc:creator>
  <cp:lastModifiedBy>dostapkiewicz</cp:lastModifiedBy>
  <cp:revision>2</cp:revision>
  <dcterms:created xsi:type="dcterms:W3CDTF">2016-06-27T12:53:00Z</dcterms:created>
  <dcterms:modified xsi:type="dcterms:W3CDTF">2016-06-27T12:53:00Z</dcterms:modified>
</cp:coreProperties>
</file>